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B3E9" w14:textId="77777777" w:rsidR="009A7379" w:rsidRPr="009A7379" w:rsidRDefault="009A7379" w:rsidP="009A7379">
      <w:pPr>
        <w:jc w:val="both"/>
        <w:rPr>
          <w:sz w:val="24"/>
          <w:szCs w:val="24"/>
          <w:lang w:val="sr-Cyrl-RS"/>
        </w:rPr>
      </w:pPr>
    </w:p>
    <w:p w14:paraId="0727BC34" w14:textId="4368DCB0" w:rsidR="002B6F26" w:rsidRPr="002B6F26" w:rsidRDefault="009A7379" w:rsidP="002B6F26">
      <w:pPr>
        <w:jc w:val="both"/>
        <w:rPr>
          <w:b/>
          <w:sz w:val="24"/>
          <w:szCs w:val="24"/>
          <w:lang w:val="sr-Cyrl-RS"/>
        </w:rPr>
      </w:pPr>
      <w:r w:rsidRPr="009A7379">
        <w:rPr>
          <w:sz w:val="24"/>
          <w:szCs w:val="24"/>
          <w:lang w:val="sr-Cyrl-RS"/>
        </w:rPr>
        <w:t>.</w:t>
      </w:r>
      <w:r w:rsidR="002B6F26">
        <w:rPr>
          <w:sz w:val="24"/>
          <w:szCs w:val="24"/>
          <w:lang w:val="sr-Cyrl-RS"/>
        </w:rPr>
        <w:t xml:space="preserve">                                  </w:t>
      </w:r>
      <w:r w:rsidR="002B6F26" w:rsidRPr="002B6F26">
        <w:rPr>
          <w:b/>
          <w:sz w:val="24"/>
          <w:szCs w:val="24"/>
          <w:lang w:val="sr-Cyrl-RS"/>
        </w:rPr>
        <w:t xml:space="preserve">Центарот за развој на Скопски плански регион, објавува: </w:t>
      </w:r>
    </w:p>
    <w:p w14:paraId="5F8AE9D9" w14:textId="267A7BBA" w:rsidR="002B6F26" w:rsidRPr="002B6F26" w:rsidRDefault="002B6F26" w:rsidP="002B6F26">
      <w:pPr>
        <w:jc w:val="both"/>
        <w:rPr>
          <w:b/>
          <w:sz w:val="24"/>
          <w:szCs w:val="24"/>
          <w:lang w:val="sr-Cyrl-RS"/>
        </w:rPr>
      </w:pPr>
      <w:r w:rsidRPr="002B6F26">
        <w:rPr>
          <w:b/>
          <w:sz w:val="24"/>
          <w:szCs w:val="24"/>
          <w:lang w:val="sr-Cyrl-RS"/>
        </w:rPr>
        <w:t xml:space="preserve">                                                                             ЈАВЕН ПОВИК </w:t>
      </w:r>
    </w:p>
    <w:p w14:paraId="05E48AD2" w14:textId="339EE6D7" w:rsidR="002B6F26" w:rsidRPr="002B6F26" w:rsidRDefault="002B6F26" w:rsidP="002B6F26">
      <w:pPr>
        <w:jc w:val="both"/>
        <w:rPr>
          <w:b/>
          <w:sz w:val="24"/>
          <w:szCs w:val="24"/>
          <w:lang w:val="sr-Cyrl-RS"/>
        </w:rPr>
      </w:pPr>
      <w:r w:rsidRPr="002B6F26">
        <w:rPr>
          <w:b/>
          <w:sz w:val="24"/>
          <w:szCs w:val="24"/>
          <w:lang w:val="sr-Cyrl-RS"/>
        </w:rPr>
        <w:t xml:space="preserve">        </w:t>
      </w:r>
      <w:r>
        <w:rPr>
          <w:b/>
          <w:sz w:val="24"/>
          <w:szCs w:val="24"/>
          <w:lang w:val="sr-Cyrl-RS"/>
        </w:rPr>
        <w:t xml:space="preserve">                            </w:t>
      </w:r>
      <w:r w:rsidRPr="002B6F26">
        <w:rPr>
          <w:b/>
          <w:sz w:val="24"/>
          <w:szCs w:val="24"/>
          <w:lang w:val="sr-Cyrl-RS"/>
        </w:rPr>
        <w:t>за регистрација и</w:t>
      </w:r>
      <w:r>
        <w:rPr>
          <w:b/>
          <w:sz w:val="24"/>
          <w:szCs w:val="24"/>
          <w:lang w:val="sr-Cyrl-RS"/>
        </w:rPr>
        <w:t xml:space="preserve"> присуство на учеснивци на </w:t>
      </w:r>
      <w:r w:rsidRPr="002B6F26">
        <w:rPr>
          <w:b/>
          <w:sz w:val="24"/>
          <w:szCs w:val="24"/>
          <w:lang w:val="sr-Cyrl-RS"/>
        </w:rPr>
        <w:t>еднодневен</w:t>
      </w:r>
    </w:p>
    <w:p w14:paraId="67695267" w14:textId="20C38DA9" w:rsidR="002B6F26" w:rsidRPr="002B6F26" w:rsidRDefault="002B6F26" w:rsidP="002B6F26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„</w:t>
      </w:r>
      <w:r w:rsidRPr="002B6F26">
        <w:rPr>
          <w:b/>
          <w:i/>
          <w:sz w:val="24"/>
          <w:szCs w:val="24"/>
          <w:lang w:val="sr-Cyrl-RS"/>
        </w:rPr>
        <w:t>Информативен настан за развивање на континуирани програми за менторство за заинтересирани организации</w:t>
      </w:r>
      <w:r>
        <w:rPr>
          <w:b/>
          <w:i/>
          <w:sz w:val="24"/>
          <w:szCs w:val="24"/>
          <w:lang w:val="sr-Cyrl-RS"/>
        </w:rPr>
        <w:t xml:space="preserve"> и практиканти“</w:t>
      </w:r>
    </w:p>
    <w:p w14:paraId="7DAB623C" w14:textId="77777777" w:rsidR="002B6F26" w:rsidRDefault="002B6F26" w:rsidP="002B6F26">
      <w:pPr>
        <w:jc w:val="both"/>
        <w:rPr>
          <w:sz w:val="24"/>
          <w:szCs w:val="24"/>
          <w:lang w:val="sr-Cyrl-RS"/>
        </w:rPr>
      </w:pPr>
    </w:p>
    <w:p w14:paraId="1E83DB2F" w14:textId="77777777" w:rsidR="002B6F26" w:rsidRDefault="002B6F26" w:rsidP="002B6F26">
      <w:pPr>
        <w:jc w:val="both"/>
        <w:rPr>
          <w:sz w:val="24"/>
          <w:szCs w:val="24"/>
          <w:lang w:val="sr-Cyrl-RS"/>
        </w:rPr>
      </w:pPr>
    </w:p>
    <w:p w14:paraId="640B5E18" w14:textId="77777777" w:rsidR="002B6F26" w:rsidRPr="00330D4A" w:rsidRDefault="002B6F26" w:rsidP="002B6F26">
      <w:pPr>
        <w:jc w:val="both"/>
        <w:rPr>
          <w:b/>
          <w:sz w:val="24"/>
          <w:szCs w:val="24"/>
          <w:lang w:val="sr-Cyrl-RS"/>
        </w:rPr>
      </w:pPr>
    </w:p>
    <w:p w14:paraId="3D0A2968" w14:textId="0CAD2A73" w:rsidR="002B6F26" w:rsidRPr="002B6F26" w:rsidRDefault="002B6F26" w:rsidP="002B6F26">
      <w:pPr>
        <w:jc w:val="both"/>
        <w:rPr>
          <w:sz w:val="24"/>
          <w:szCs w:val="24"/>
          <w:lang w:val="sr-Cyrl-RS"/>
        </w:rPr>
      </w:pPr>
      <w:r w:rsidRPr="00330D4A">
        <w:rPr>
          <w:b/>
          <w:sz w:val="24"/>
          <w:szCs w:val="24"/>
          <w:lang w:val="sr-Cyrl-RS"/>
        </w:rPr>
        <w:t>Центарот за развој на Скопски плански регион</w:t>
      </w:r>
      <w:r>
        <w:rPr>
          <w:sz w:val="24"/>
          <w:szCs w:val="24"/>
          <w:lang w:val="sr-Cyrl-RS"/>
        </w:rPr>
        <w:t xml:space="preserve">, во својство на партнер/ Ко-апликант 1 во прекуграничнот проект од ИПА 2 програмата на ЕУ Македонија Србија, </w:t>
      </w:r>
      <w:r w:rsidRPr="00330D4A">
        <w:rPr>
          <w:b/>
          <w:sz w:val="24"/>
          <w:szCs w:val="24"/>
          <w:lang w:val="sr-Cyrl-RS"/>
        </w:rPr>
        <w:t>организира</w:t>
      </w:r>
      <w:r>
        <w:rPr>
          <w:sz w:val="24"/>
          <w:szCs w:val="24"/>
          <w:lang w:val="sr-Cyrl-RS"/>
        </w:rPr>
        <w:t xml:space="preserve">:  </w:t>
      </w:r>
      <w:r w:rsidR="009A7379" w:rsidRPr="009A7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Pr="006907A2">
        <w:rPr>
          <w:b/>
          <w:sz w:val="24"/>
          <w:szCs w:val="24"/>
          <w:lang w:val="sr-Cyrl-RS"/>
        </w:rPr>
        <w:t>Информативен и едукативен ден</w:t>
      </w:r>
      <w:r w:rsidRPr="006907A2">
        <w:rPr>
          <w:b/>
          <w:sz w:val="24"/>
          <w:szCs w:val="24"/>
          <w:lang w:val="sr-Cyrl-RS"/>
        </w:rPr>
        <w:t xml:space="preserve"> - работилница за изработка на програма за практикантска работа за заин</w:t>
      </w:r>
      <w:r w:rsidRPr="006907A2">
        <w:rPr>
          <w:b/>
          <w:sz w:val="24"/>
          <w:szCs w:val="24"/>
          <w:lang w:val="sr-Cyrl-RS"/>
        </w:rPr>
        <w:t>тересирани организации во Р.С.Македонија</w:t>
      </w:r>
      <w:r>
        <w:rPr>
          <w:sz w:val="24"/>
          <w:szCs w:val="24"/>
          <w:lang w:val="sr-Cyrl-RS"/>
        </w:rPr>
        <w:t xml:space="preserve">. </w:t>
      </w:r>
      <w:bookmarkStart w:id="0" w:name="_GoBack"/>
      <w:bookmarkEnd w:id="0"/>
    </w:p>
    <w:p w14:paraId="49E34868" w14:textId="77777777" w:rsidR="002B6F26" w:rsidRPr="00900EEB" w:rsidRDefault="002B6F26" w:rsidP="002B6F26">
      <w:pPr>
        <w:jc w:val="both"/>
        <w:rPr>
          <w:b/>
          <w:sz w:val="24"/>
          <w:szCs w:val="24"/>
          <w:lang w:val="sr-Cyrl-RS"/>
        </w:rPr>
      </w:pPr>
    </w:p>
    <w:p w14:paraId="3596F489" w14:textId="13FB2A66" w:rsidR="002B6F26" w:rsidRDefault="00900EEB" w:rsidP="00900EEB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1. </w:t>
      </w:r>
      <w:r w:rsidRPr="00900EEB">
        <w:rPr>
          <w:b/>
          <w:sz w:val="24"/>
          <w:szCs w:val="24"/>
          <w:lang w:val="sr-Cyrl-RS"/>
        </w:rPr>
        <w:t>Локација и време:</w:t>
      </w:r>
      <w:r>
        <w:rPr>
          <w:sz w:val="24"/>
          <w:szCs w:val="24"/>
          <w:lang w:val="sr-Cyrl-RS"/>
        </w:rPr>
        <w:t xml:space="preserve"> </w:t>
      </w:r>
      <w:r w:rsidR="006907A2">
        <w:rPr>
          <w:sz w:val="24"/>
          <w:szCs w:val="24"/>
          <w:lang w:val="sr-Cyrl-RS"/>
        </w:rPr>
        <w:t xml:space="preserve">Информативно-едукативниот ден е </w:t>
      </w:r>
      <w:r>
        <w:rPr>
          <w:sz w:val="24"/>
          <w:szCs w:val="24"/>
          <w:lang w:val="mk-MK"/>
        </w:rPr>
        <w:t xml:space="preserve">конципиран во </w:t>
      </w:r>
      <w:r w:rsidR="006907A2">
        <w:rPr>
          <w:sz w:val="24"/>
          <w:szCs w:val="24"/>
          <w:lang w:val="sr-Cyrl-RS"/>
        </w:rPr>
        <w:t>еднодневна работилница, наменета за</w:t>
      </w:r>
      <w:r w:rsidR="002B6F26" w:rsidRPr="002B6F26">
        <w:rPr>
          <w:sz w:val="24"/>
          <w:szCs w:val="24"/>
          <w:lang w:val="sr-Cyrl-RS"/>
        </w:rPr>
        <w:t xml:space="preserve"> изработка на програма за практикан</w:t>
      </w:r>
      <w:r>
        <w:rPr>
          <w:sz w:val="24"/>
          <w:szCs w:val="24"/>
          <w:lang w:val="sr-Cyrl-RS"/>
        </w:rPr>
        <w:t>тска работа за сите соодветни организации согласно критериумите</w:t>
      </w:r>
      <w:r w:rsidR="0099012F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 xml:space="preserve"> програмската рамка на проектот </w:t>
      </w:r>
      <w:r w:rsidR="0099012F" w:rsidRPr="0099012F">
        <w:rPr>
          <w:b/>
          <w:sz w:val="24"/>
          <w:szCs w:val="24"/>
          <w:lang w:val="sr-Cyrl-RS"/>
        </w:rPr>
        <w:t>ШАНСА ЗА ТЕБЕ</w:t>
      </w:r>
      <w:r w:rsidR="0099012F">
        <w:rPr>
          <w:sz w:val="24"/>
          <w:szCs w:val="24"/>
          <w:lang w:val="sr-Cyrl-RS"/>
        </w:rPr>
        <w:t xml:space="preserve"> и истиот ќе се одржи </w:t>
      </w:r>
      <w:r w:rsidR="006907A2">
        <w:rPr>
          <w:sz w:val="24"/>
          <w:szCs w:val="24"/>
          <w:lang w:val="sr-Cyrl-RS"/>
        </w:rPr>
        <w:t>во</w:t>
      </w:r>
      <w:r w:rsidR="00330D4A">
        <w:rPr>
          <w:b/>
          <w:sz w:val="24"/>
          <w:szCs w:val="24"/>
          <w:lang w:val="sr-Cyrl-RS"/>
        </w:rPr>
        <w:t xml:space="preserve"> </w:t>
      </w:r>
      <w:r w:rsidR="0099012F" w:rsidRPr="0099012F">
        <w:rPr>
          <w:b/>
          <w:sz w:val="24"/>
          <w:szCs w:val="24"/>
          <w:lang w:val="sr-Cyrl-RS"/>
        </w:rPr>
        <w:t xml:space="preserve">Скопје, </w:t>
      </w:r>
      <w:r w:rsidR="0099012F">
        <w:rPr>
          <w:b/>
          <w:sz w:val="24"/>
          <w:szCs w:val="24"/>
          <w:lang w:val="sr-Cyrl-RS"/>
        </w:rPr>
        <w:t>Х</w:t>
      </w:r>
      <w:r w:rsidR="0099012F" w:rsidRPr="0099012F">
        <w:rPr>
          <w:b/>
          <w:sz w:val="24"/>
          <w:szCs w:val="24"/>
          <w:lang w:val="sr-Cyrl-RS"/>
        </w:rPr>
        <w:t>отел</w:t>
      </w:r>
      <w:r w:rsidR="0099012F">
        <w:rPr>
          <w:b/>
          <w:sz w:val="24"/>
          <w:szCs w:val="24"/>
          <w:lang w:val="sr-Cyrl-RS"/>
        </w:rPr>
        <w:t xml:space="preserve"> </w:t>
      </w:r>
      <w:r w:rsidR="006907A2" w:rsidRPr="0099012F">
        <w:rPr>
          <w:b/>
          <w:sz w:val="24"/>
          <w:szCs w:val="24"/>
          <w:lang w:val="sr-Cyrl-RS"/>
        </w:rPr>
        <w:t>Панорамика Дизајн</w:t>
      </w:r>
      <w:r w:rsidRPr="0099012F">
        <w:rPr>
          <w:b/>
          <w:sz w:val="24"/>
          <w:szCs w:val="24"/>
          <w:lang w:val="sr-Cyrl-RS"/>
        </w:rPr>
        <w:t>, на 19.05.2024 година</w:t>
      </w:r>
      <w:r>
        <w:rPr>
          <w:sz w:val="24"/>
          <w:szCs w:val="24"/>
          <w:lang w:val="sr-Cyrl-RS"/>
        </w:rPr>
        <w:t>.</w:t>
      </w:r>
    </w:p>
    <w:p w14:paraId="6FA0CC35" w14:textId="732F4635" w:rsidR="00DA67A9" w:rsidRPr="00DA67A9" w:rsidRDefault="00DA67A9" w:rsidP="00DA67A9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2. </w:t>
      </w:r>
      <w:r w:rsidRPr="00DA67A9">
        <w:rPr>
          <w:b/>
          <w:sz w:val="24"/>
          <w:szCs w:val="24"/>
          <w:lang w:val="sr-Cyrl-RS"/>
        </w:rPr>
        <w:t>Целни групи:</w:t>
      </w:r>
      <w:r>
        <w:rPr>
          <w:sz w:val="24"/>
          <w:szCs w:val="24"/>
          <w:lang w:val="sr-Cyrl-RS"/>
        </w:rPr>
        <w:t xml:space="preserve"> </w:t>
      </w:r>
      <w:r w:rsidR="004B3E48" w:rsidRPr="004B3E48">
        <w:rPr>
          <w:sz w:val="24"/>
          <w:szCs w:val="24"/>
          <w:lang w:val="sr-Cyrl-RS"/>
        </w:rPr>
        <w:t>Целни групи се заинтересирани организации за воведување практиканти</w:t>
      </w:r>
      <w:r w:rsidR="0099012F">
        <w:rPr>
          <w:sz w:val="24"/>
          <w:szCs w:val="24"/>
          <w:lang w:val="sr-Cyrl-RS"/>
        </w:rPr>
        <w:t xml:space="preserve"> во нивните организации, во чии рамки спаѓаат</w:t>
      </w:r>
      <w:r w:rsidR="004B3E48" w:rsidRPr="004B3E48">
        <w:rPr>
          <w:sz w:val="24"/>
          <w:szCs w:val="24"/>
          <w:lang w:val="sr-Cyrl-RS"/>
        </w:rPr>
        <w:t xml:space="preserve"> мали и средни претпријатија, претпријатија во сопственост или управувани од жени, ГО, зан</w:t>
      </w:r>
      <w:r w:rsidR="004B3E48">
        <w:rPr>
          <w:sz w:val="24"/>
          <w:szCs w:val="24"/>
          <w:lang w:val="sr-Cyrl-RS"/>
        </w:rPr>
        <w:t xml:space="preserve">аетчиски, земјоделски стопанственици како и бизнис здруженија, со определен број од 20 учесници. </w:t>
      </w:r>
      <w:r>
        <w:rPr>
          <w:sz w:val="24"/>
          <w:szCs w:val="24"/>
          <w:lang w:val="sr-Cyrl-RS"/>
        </w:rPr>
        <w:t xml:space="preserve">Повикот е наменет </w:t>
      </w:r>
      <w:r w:rsidR="0099012F">
        <w:rPr>
          <w:sz w:val="24"/>
          <w:szCs w:val="24"/>
          <w:lang w:val="sr-Cyrl-RS"/>
        </w:rPr>
        <w:t xml:space="preserve">за балансиран број на </w:t>
      </w:r>
      <w:r w:rsidRPr="00DA67A9">
        <w:rPr>
          <w:sz w:val="24"/>
          <w:szCs w:val="24"/>
          <w:lang w:val="sr-Cyrl-RS"/>
        </w:rPr>
        <w:t xml:space="preserve">претставници од </w:t>
      </w:r>
      <w:r w:rsidR="0099012F">
        <w:rPr>
          <w:sz w:val="24"/>
          <w:szCs w:val="24"/>
          <w:lang w:val="sr-Cyrl-RS"/>
        </w:rPr>
        <w:t xml:space="preserve">наведените категории </w:t>
      </w:r>
      <w:r>
        <w:rPr>
          <w:sz w:val="24"/>
          <w:szCs w:val="24"/>
          <w:lang w:val="sr-Cyrl-RS"/>
        </w:rPr>
        <w:t xml:space="preserve">мали и средни компании </w:t>
      </w:r>
      <w:r w:rsidRPr="00DA67A9">
        <w:rPr>
          <w:sz w:val="24"/>
          <w:szCs w:val="24"/>
          <w:lang w:val="sr-Cyrl-RS"/>
        </w:rPr>
        <w:t xml:space="preserve">центри/организации </w:t>
      </w:r>
      <w:r>
        <w:rPr>
          <w:sz w:val="24"/>
          <w:szCs w:val="24"/>
          <w:lang w:val="sr-Cyrl-RS"/>
        </w:rPr>
        <w:t>за обука и ст</w:t>
      </w:r>
      <w:r w:rsidR="0099012F">
        <w:rPr>
          <w:sz w:val="24"/>
          <w:szCs w:val="24"/>
          <w:lang w:val="sr-Cyrl-RS"/>
        </w:rPr>
        <w:t xml:space="preserve">ручно образование, како </w:t>
      </w:r>
      <w:r>
        <w:rPr>
          <w:sz w:val="24"/>
          <w:szCs w:val="24"/>
          <w:lang w:val="sr-Cyrl-RS"/>
        </w:rPr>
        <w:t>и за</w:t>
      </w:r>
      <w:r w:rsidR="0099012F">
        <w:rPr>
          <w:sz w:val="24"/>
          <w:szCs w:val="24"/>
          <w:lang w:val="sr-Cyrl-RS"/>
        </w:rPr>
        <w:t xml:space="preserve"> за</w:t>
      </w:r>
      <w:r>
        <w:rPr>
          <w:sz w:val="24"/>
          <w:szCs w:val="24"/>
          <w:lang w:val="sr-Cyrl-RS"/>
        </w:rPr>
        <w:t xml:space="preserve">интересирани кандидати за </w:t>
      </w:r>
      <w:r w:rsidR="00617798">
        <w:rPr>
          <w:sz w:val="24"/>
          <w:szCs w:val="24"/>
          <w:lang w:val="sr-Cyrl-RS"/>
        </w:rPr>
        <w:t xml:space="preserve">идни </w:t>
      </w:r>
      <w:r>
        <w:rPr>
          <w:sz w:val="24"/>
          <w:szCs w:val="24"/>
          <w:lang w:val="sr-Cyrl-RS"/>
        </w:rPr>
        <w:t xml:space="preserve">практиканти кои сакаат да ги надградат и зајакнат своите </w:t>
      </w:r>
      <w:r w:rsidR="00617798">
        <w:rPr>
          <w:sz w:val="24"/>
          <w:szCs w:val="24"/>
          <w:lang w:val="sr-Cyrl-RS"/>
        </w:rPr>
        <w:t xml:space="preserve">стручни </w:t>
      </w:r>
      <w:r>
        <w:rPr>
          <w:sz w:val="24"/>
          <w:szCs w:val="24"/>
          <w:lang w:val="sr-Cyrl-RS"/>
        </w:rPr>
        <w:t xml:space="preserve">вештини. </w:t>
      </w:r>
    </w:p>
    <w:p w14:paraId="06C6F9FB" w14:textId="155945B5" w:rsidR="00DA67A9" w:rsidRPr="00DA67A9" w:rsidRDefault="00DA67A9" w:rsidP="00DA67A9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3. </w:t>
      </w:r>
      <w:r w:rsidRPr="00DA67A9">
        <w:rPr>
          <w:b/>
          <w:sz w:val="24"/>
          <w:szCs w:val="24"/>
          <w:lang w:val="sr-Cyrl-RS"/>
        </w:rPr>
        <w:t>Корисници на проектот (кој може да се пријави?):</w:t>
      </w:r>
      <w:r w:rsidRPr="00DA67A9">
        <w:rPr>
          <w:sz w:val="24"/>
          <w:szCs w:val="24"/>
          <w:lang w:val="sr-Cyrl-RS"/>
        </w:rPr>
        <w:t xml:space="preserve"> Јавниот повик е отворен за корисници од Североисточниот регион и програмски опф</w:t>
      </w:r>
      <w:r w:rsidR="0099012F">
        <w:rPr>
          <w:sz w:val="24"/>
          <w:szCs w:val="24"/>
          <w:lang w:val="sr-Cyrl-RS"/>
        </w:rPr>
        <w:t>атениот дел од Скопскиот регион</w:t>
      </w:r>
      <w:r w:rsidRPr="00DA67A9">
        <w:rPr>
          <w:sz w:val="24"/>
          <w:szCs w:val="24"/>
          <w:lang w:val="sr-Cyrl-RS"/>
        </w:rPr>
        <w:t>, во кои спаѓаа</w:t>
      </w:r>
      <w:r>
        <w:rPr>
          <w:sz w:val="24"/>
          <w:szCs w:val="24"/>
          <w:lang w:val="sr-Cyrl-RS"/>
        </w:rPr>
        <w:t>т</w:t>
      </w:r>
      <w:r w:rsidR="0099012F">
        <w:rPr>
          <w:sz w:val="24"/>
          <w:szCs w:val="24"/>
          <w:lang w:val="sr-Cyrl-RS"/>
        </w:rPr>
        <w:t xml:space="preserve"> малите и средни претпријатија</w:t>
      </w:r>
      <w:r>
        <w:rPr>
          <w:sz w:val="24"/>
          <w:szCs w:val="24"/>
          <w:lang w:val="sr-Cyrl-RS"/>
        </w:rPr>
        <w:t>/центри за стручно образование и обуки</w:t>
      </w:r>
      <w:r w:rsidR="004B3E48">
        <w:rPr>
          <w:sz w:val="24"/>
          <w:szCs w:val="24"/>
          <w:lang w:val="sr-Cyrl-RS"/>
        </w:rPr>
        <w:t xml:space="preserve"> и практиканти кои сакаат да ги зајакнат своите вештини во рамки на </w:t>
      </w:r>
      <w:r w:rsidRPr="00DA67A9">
        <w:rPr>
          <w:sz w:val="24"/>
          <w:szCs w:val="24"/>
          <w:lang w:val="sr-Cyrl-RS"/>
        </w:rPr>
        <w:t>следната класи</w:t>
      </w:r>
      <w:r>
        <w:rPr>
          <w:sz w:val="24"/>
          <w:szCs w:val="24"/>
          <w:lang w:val="sr-Cyrl-RS"/>
        </w:rPr>
        <w:t>фикација: занатчиски работилници</w:t>
      </w:r>
      <w:r w:rsidRPr="00DA67A9">
        <w:rPr>
          <w:sz w:val="24"/>
          <w:szCs w:val="24"/>
          <w:lang w:val="sr-Cyrl-RS"/>
        </w:rPr>
        <w:t>; регистрирани земјоделски стопанства; бизниси/фирми во сопственост или управувани од жени; формални и неформални образовни институции од пр</w:t>
      </w:r>
      <w:r w:rsidR="004B3E48">
        <w:rPr>
          <w:sz w:val="24"/>
          <w:szCs w:val="24"/>
          <w:lang w:val="sr-Cyrl-RS"/>
        </w:rPr>
        <w:t xml:space="preserve">екуграничната програмска област. </w:t>
      </w:r>
    </w:p>
    <w:p w14:paraId="2AFD2C66" w14:textId="1A70B4E1" w:rsidR="00DA67A9" w:rsidRDefault="00DA67A9" w:rsidP="00DA67A9">
      <w:pPr>
        <w:jc w:val="both"/>
        <w:rPr>
          <w:sz w:val="24"/>
          <w:szCs w:val="24"/>
          <w:lang w:val="sr-Cyrl-RS"/>
        </w:rPr>
      </w:pPr>
      <w:r w:rsidRPr="00DA67A9">
        <w:rPr>
          <w:sz w:val="24"/>
          <w:szCs w:val="24"/>
          <w:lang w:val="sr-Cyrl-RS"/>
        </w:rPr>
        <w:t>Предност при селектирањето во јавниот повик имаат секторите кои се во просперитет, односно: C Преработувачка индустрија 4; G Трговија на големо и мало; Поправка на моторни возила и мотоцикли 4; H Транспорт и складирање 5; Ј Информирање и комуникации 3 и М Стручна, научна и техничка дејност.</w:t>
      </w:r>
    </w:p>
    <w:p w14:paraId="15291DC1" w14:textId="77777777" w:rsidR="00900EEB" w:rsidRPr="00900EEB" w:rsidRDefault="00900EEB" w:rsidP="00900EEB">
      <w:pPr>
        <w:jc w:val="both"/>
        <w:rPr>
          <w:sz w:val="24"/>
          <w:szCs w:val="24"/>
          <w:lang w:val="sr-Cyrl-RS"/>
        </w:rPr>
      </w:pPr>
    </w:p>
    <w:p w14:paraId="7B3009A7" w14:textId="3AF6B374" w:rsidR="002B6F26" w:rsidRDefault="00617798" w:rsidP="002B6F26">
      <w:pPr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>4</w:t>
      </w:r>
      <w:r w:rsidR="00900EEB" w:rsidRPr="00900EEB">
        <w:rPr>
          <w:b/>
          <w:sz w:val="24"/>
          <w:szCs w:val="24"/>
          <w:lang w:val="sr-Cyrl-RS"/>
        </w:rPr>
        <w:t xml:space="preserve">. </w:t>
      </w:r>
      <w:r w:rsidR="002B6F26" w:rsidRPr="00900EEB">
        <w:rPr>
          <w:b/>
          <w:sz w:val="24"/>
          <w:szCs w:val="24"/>
          <w:lang w:val="sr-Cyrl-RS"/>
        </w:rPr>
        <w:t>Целта на настанот</w:t>
      </w:r>
      <w:r w:rsidR="00900EEB">
        <w:rPr>
          <w:sz w:val="24"/>
          <w:szCs w:val="24"/>
          <w:lang w:val="sr-Cyrl-RS"/>
        </w:rPr>
        <w:t xml:space="preserve">  е </w:t>
      </w:r>
      <w:r w:rsidR="002B6F26" w:rsidRPr="002B6F26">
        <w:rPr>
          <w:sz w:val="24"/>
          <w:szCs w:val="24"/>
          <w:lang w:val="sr-Cyrl-RS"/>
        </w:rPr>
        <w:t>да се информираат целните групи за предностите од воведувањето на програмата за практикантска работа и да се едуцираат учесниците како да пристапат кон процесот во нивните организации, имајќи ги пред</w:t>
      </w:r>
      <w:r w:rsidR="009E5F89">
        <w:rPr>
          <w:sz w:val="24"/>
          <w:szCs w:val="24"/>
          <w:lang w:val="sr-Cyrl-RS"/>
        </w:rPr>
        <w:t xml:space="preserve">вид законските регулативи во Р.С.Македонија. </w:t>
      </w:r>
    </w:p>
    <w:p w14:paraId="22F0959B" w14:textId="0F823497" w:rsidR="006907A2" w:rsidRDefault="006907A2" w:rsidP="002B6F26">
      <w:pPr>
        <w:jc w:val="both"/>
        <w:rPr>
          <w:sz w:val="24"/>
          <w:szCs w:val="24"/>
          <w:lang w:val="sr-Cyrl-RS"/>
        </w:rPr>
      </w:pPr>
    </w:p>
    <w:p w14:paraId="11283B68" w14:textId="7A5C9D60" w:rsidR="006907A2" w:rsidRDefault="006907A2" w:rsidP="002B6F26">
      <w:pPr>
        <w:jc w:val="both"/>
        <w:rPr>
          <w:sz w:val="24"/>
          <w:szCs w:val="24"/>
          <w:lang w:val="sr-Cyrl-RS"/>
        </w:rPr>
      </w:pPr>
      <w:r w:rsidRPr="006907A2">
        <w:rPr>
          <w:sz w:val="24"/>
          <w:szCs w:val="24"/>
          <w:lang w:val="sr-Cyrl-RS"/>
        </w:rPr>
        <w:t xml:space="preserve">Проектот „ШАНСА ЗА ТЕБЕ“ (бр. 48-00-00164-2021-28-3) во рамките на ИПА II Програмата за прекугранична соработка на Србија и Северна Македонија 2016-2020  </w:t>
      </w:r>
      <w:r w:rsidR="00617798">
        <w:rPr>
          <w:sz w:val="24"/>
          <w:szCs w:val="24"/>
          <w:lang w:val="sr-Cyrl-RS"/>
        </w:rPr>
        <w:t>е заедничка</w:t>
      </w:r>
      <w:r w:rsidRPr="006907A2">
        <w:rPr>
          <w:sz w:val="24"/>
          <w:szCs w:val="24"/>
          <w:lang w:val="sr-Cyrl-RS"/>
        </w:rPr>
        <w:t xml:space="preserve"> иницијатива на Центарот за управување со знаење од Скопје и</w:t>
      </w:r>
      <w:r w:rsidR="00617798">
        <w:rPr>
          <w:sz w:val="24"/>
          <w:szCs w:val="24"/>
          <w:lang w:val="sr-Cyrl-RS"/>
        </w:rPr>
        <w:t xml:space="preserve"> Центарот за развој на Скопски плански регион, партнери од македонска страна и </w:t>
      </w:r>
      <w:r w:rsidRPr="006907A2">
        <w:rPr>
          <w:sz w:val="24"/>
          <w:szCs w:val="24"/>
          <w:lang w:val="sr-Cyrl-RS"/>
        </w:rPr>
        <w:t xml:space="preserve">Центарот за развој на </w:t>
      </w:r>
      <w:r w:rsidR="00617798">
        <w:rPr>
          <w:sz w:val="24"/>
          <w:szCs w:val="24"/>
          <w:lang w:val="sr-Cyrl-RS"/>
        </w:rPr>
        <w:t xml:space="preserve">Јабланичко –Пчињскиот округ </w:t>
      </w:r>
      <w:r w:rsidRPr="006907A2">
        <w:rPr>
          <w:sz w:val="24"/>
          <w:szCs w:val="24"/>
          <w:lang w:val="sr-Cyrl-RS"/>
        </w:rPr>
        <w:t>и општина</w:t>
      </w:r>
      <w:r w:rsidR="00617798">
        <w:rPr>
          <w:sz w:val="24"/>
          <w:szCs w:val="24"/>
          <w:lang w:val="sr-Cyrl-RS"/>
        </w:rPr>
        <w:t>та</w:t>
      </w:r>
      <w:r w:rsidRPr="006907A2">
        <w:rPr>
          <w:sz w:val="24"/>
          <w:szCs w:val="24"/>
          <w:lang w:val="sr-Cyrl-RS"/>
        </w:rPr>
        <w:t xml:space="preserve"> Власотинце,</w:t>
      </w:r>
      <w:r w:rsidR="00617798">
        <w:rPr>
          <w:sz w:val="24"/>
          <w:szCs w:val="24"/>
          <w:lang w:val="sr-Cyrl-RS"/>
        </w:rPr>
        <w:t xml:space="preserve"> партнери од српската страна во прекуграничната програмска област. </w:t>
      </w:r>
      <w:r w:rsidRPr="006907A2">
        <w:rPr>
          <w:sz w:val="24"/>
          <w:szCs w:val="24"/>
          <w:lang w:val="sr-Cyrl-RS"/>
        </w:rPr>
        <w:t xml:space="preserve">Овој проект е кофинансиран од Европската Унија. Проектот има за цел да ги подобри механизмите за поддршка на вработливоста и мобилноста на работната сила во прекуграничната област на Србија и Северна Македонија. Проектот се фокусира на воведување нови пристапи и соработка помеѓу јавниот и приватниот сектор со цел да се поддржи вработливоста и мобилноста на работната сила во прекуграничната област и да се зголемат капацитетите и надлежностите на јавниот и приватниот сектор за спроведување на програми за вработување. Во оваа смисла, проектните </w:t>
      </w:r>
      <w:r w:rsidR="00617798">
        <w:rPr>
          <w:sz w:val="24"/>
          <w:szCs w:val="24"/>
          <w:lang w:val="sr-Cyrl-RS"/>
        </w:rPr>
        <w:t>партнери организираат еднодневна</w:t>
      </w:r>
      <w:r w:rsidRPr="006907A2">
        <w:rPr>
          <w:sz w:val="24"/>
          <w:szCs w:val="24"/>
          <w:lang w:val="sr-Cyrl-RS"/>
        </w:rPr>
        <w:t xml:space="preserve"> информативна и едукативна работилница за развој на континуирана програма за менторство/стажирање за заинтересирани организации.</w:t>
      </w:r>
    </w:p>
    <w:p w14:paraId="3D015EE1" w14:textId="77777777" w:rsidR="006907A2" w:rsidRPr="002B6F26" w:rsidRDefault="006907A2" w:rsidP="002B6F26">
      <w:pPr>
        <w:jc w:val="both"/>
        <w:rPr>
          <w:sz w:val="24"/>
          <w:szCs w:val="24"/>
          <w:lang w:val="sr-Cyrl-RS"/>
        </w:rPr>
      </w:pPr>
    </w:p>
    <w:p w14:paraId="7CEF3C5B" w14:textId="6250B264" w:rsidR="002B6F26" w:rsidRPr="002B6F26" w:rsidRDefault="002B6F26" w:rsidP="002B6F26">
      <w:pPr>
        <w:jc w:val="both"/>
        <w:rPr>
          <w:sz w:val="24"/>
          <w:szCs w:val="24"/>
          <w:lang w:val="sr-Cyrl-RS"/>
        </w:rPr>
      </w:pPr>
      <w:r w:rsidRPr="002B6F26">
        <w:rPr>
          <w:sz w:val="24"/>
          <w:szCs w:val="24"/>
          <w:lang w:val="sr-Cyrl-RS"/>
        </w:rPr>
        <w:t xml:space="preserve">Организатор на настанот: Центар за развој на </w:t>
      </w:r>
      <w:r w:rsidR="00617798">
        <w:rPr>
          <w:sz w:val="24"/>
          <w:szCs w:val="24"/>
          <w:lang w:val="sr-Cyrl-RS"/>
        </w:rPr>
        <w:t>Скопски плански регион, Р.С.Македонија (Ко-апликант 1/ко-корисник 1</w:t>
      </w:r>
      <w:r w:rsidRPr="002B6F26">
        <w:rPr>
          <w:sz w:val="24"/>
          <w:szCs w:val="24"/>
          <w:lang w:val="sr-Cyrl-RS"/>
        </w:rPr>
        <w:t>) заедно со проектните партнери</w:t>
      </w:r>
      <w:r w:rsidR="00617798">
        <w:rPr>
          <w:sz w:val="24"/>
          <w:szCs w:val="24"/>
          <w:lang w:val="sr-Cyrl-RS"/>
        </w:rPr>
        <w:t>:</w:t>
      </w:r>
      <w:r w:rsidRPr="002B6F26">
        <w:rPr>
          <w:sz w:val="24"/>
          <w:szCs w:val="24"/>
          <w:lang w:val="sr-Cyrl-RS"/>
        </w:rPr>
        <w:t xml:space="preserve"> Центар за управ</w:t>
      </w:r>
      <w:r w:rsidR="00617798">
        <w:rPr>
          <w:sz w:val="24"/>
          <w:szCs w:val="24"/>
          <w:lang w:val="sr-Cyrl-RS"/>
        </w:rPr>
        <w:t>ување со знаење, Скопје, Р.С.</w:t>
      </w:r>
      <w:r w:rsidRPr="002B6F26">
        <w:rPr>
          <w:sz w:val="24"/>
          <w:szCs w:val="24"/>
          <w:lang w:val="sr-Cyrl-RS"/>
        </w:rPr>
        <w:t xml:space="preserve"> Македонија (главен апликант/координатор)</w:t>
      </w:r>
      <w:r w:rsidR="0099012F">
        <w:rPr>
          <w:sz w:val="24"/>
          <w:szCs w:val="24"/>
          <w:lang w:val="sr-Cyrl-RS"/>
        </w:rPr>
        <w:t>; Центар за развој на Јабланичко</w:t>
      </w:r>
      <w:r w:rsidR="00617798">
        <w:rPr>
          <w:sz w:val="24"/>
          <w:szCs w:val="24"/>
          <w:lang w:val="sr-Cyrl-RS"/>
        </w:rPr>
        <w:t xml:space="preserve"> Пчињскиот округ, </w:t>
      </w:r>
      <w:r w:rsidR="0099012F">
        <w:rPr>
          <w:sz w:val="24"/>
          <w:szCs w:val="24"/>
          <w:lang w:val="sr-Cyrl-RS"/>
        </w:rPr>
        <w:t>Србија (Ко-апликант</w:t>
      </w:r>
      <w:r w:rsidRPr="002B6F26">
        <w:rPr>
          <w:sz w:val="24"/>
          <w:szCs w:val="24"/>
          <w:lang w:val="sr-Cyrl-RS"/>
        </w:rPr>
        <w:t xml:space="preserve"> </w:t>
      </w:r>
      <w:r w:rsidR="0099012F">
        <w:rPr>
          <w:sz w:val="24"/>
          <w:szCs w:val="24"/>
          <w:lang w:val="sr-Cyrl-RS"/>
        </w:rPr>
        <w:t>2/ко-корисник 2</w:t>
      </w:r>
      <w:r w:rsidRPr="002B6F26">
        <w:rPr>
          <w:sz w:val="24"/>
          <w:szCs w:val="24"/>
          <w:lang w:val="sr-Cyrl-RS"/>
        </w:rPr>
        <w:t>) и општина Власотинце, Србија (Ко-апликант 3/ко-корисник 3).</w:t>
      </w:r>
    </w:p>
    <w:p w14:paraId="00EB7675" w14:textId="77777777" w:rsidR="002B6F26" w:rsidRPr="002B6F26" w:rsidRDefault="002B6F26" w:rsidP="002B6F26">
      <w:pPr>
        <w:jc w:val="both"/>
        <w:rPr>
          <w:sz w:val="24"/>
          <w:szCs w:val="24"/>
          <w:lang w:val="sr-Cyrl-RS"/>
        </w:rPr>
      </w:pPr>
    </w:p>
    <w:p w14:paraId="0270AF5E" w14:textId="642C22AB" w:rsidR="00252976" w:rsidRPr="002A00ED" w:rsidRDefault="002B6F26" w:rsidP="002B6F26">
      <w:pPr>
        <w:jc w:val="both"/>
        <w:rPr>
          <w:sz w:val="24"/>
          <w:szCs w:val="24"/>
          <w:lang w:val="sr-Cyrl-RS"/>
        </w:rPr>
      </w:pPr>
      <w:r w:rsidRPr="002B6F26">
        <w:rPr>
          <w:sz w:val="24"/>
          <w:szCs w:val="24"/>
          <w:lang w:val="sr-Cyrl-RS"/>
        </w:rPr>
        <w:t>.</w:t>
      </w:r>
    </w:p>
    <w:sectPr w:rsidR="00252976" w:rsidRPr="002A00ED" w:rsidSect="001E2800">
      <w:footerReference w:type="default" r:id="rId7"/>
      <w:headerReference w:type="first" r:id="rId8"/>
      <w:footerReference w:type="first" r:id="rId9"/>
      <w:pgSz w:w="11909" w:h="16834" w:code="9"/>
      <w:pgMar w:top="1123" w:right="1123" w:bottom="1123" w:left="112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68F23" w14:textId="77777777" w:rsidR="000C793A" w:rsidRDefault="000C793A" w:rsidP="001E2800">
      <w:r>
        <w:separator/>
      </w:r>
    </w:p>
  </w:endnote>
  <w:endnote w:type="continuationSeparator" w:id="0">
    <w:p w14:paraId="25AE395E" w14:textId="77777777" w:rsidR="000C793A" w:rsidRDefault="000C793A" w:rsidP="001E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55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E3261" w14:textId="70D89578" w:rsidR="001E2800" w:rsidRDefault="001E2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3EAAA" w14:textId="77777777" w:rsidR="001E2800" w:rsidRDefault="001E2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9DD1" w14:textId="7698B3B2" w:rsidR="001E2800" w:rsidRPr="00653B75" w:rsidRDefault="001E2800" w:rsidP="00653B75">
    <w:pPr>
      <w:pStyle w:val="Footer"/>
      <w:rPr>
        <w:sz w:val="6"/>
        <w:szCs w:val="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"/>
      <w:gridCol w:w="8563"/>
    </w:tblGrid>
    <w:tr w:rsidR="00653B75" w:rsidRPr="00653B75" w14:paraId="199C181D" w14:textId="77777777" w:rsidTr="00FB6078">
      <w:trPr>
        <w:trHeight w:val="699"/>
      </w:trPr>
      <w:tc>
        <w:tcPr>
          <w:tcW w:w="1101" w:type="dxa"/>
          <w:tcBorders>
            <w:top w:val="single" w:sz="4" w:space="0" w:color="auto"/>
          </w:tcBorders>
          <w:vAlign w:val="center"/>
        </w:tcPr>
        <w:p w14:paraId="5EE8FFB1" w14:textId="34A0A54F" w:rsidR="00653B75" w:rsidRPr="00653B75" w:rsidRDefault="00653B75" w:rsidP="00653B75">
          <w:pPr>
            <w:pStyle w:val="Footer"/>
            <w:jc w:val="center"/>
            <w:rPr>
              <w:sz w:val="20"/>
              <w:szCs w:val="20"/>
            </w:rPr>
          </w:pPr>
          <w:r w:rsidRPr="00653B75">
            <w:rPr>
              <w:rFonts w:asciiTheme="minorHAnsi" w:hAnsiTheme="minorHAnsi"/>
              <w:noProof/>
              <w:sz w:val="20"/>
              <w:szCs w:val="20"/>
              <w:lang w:val="en-US"/>
            </w:rPr>
            <w:drawing>
              <wp:inline distT="0" distB="0" distL="0" distR="0" wp14:anchorId="11F2958E" wp14:editId="22601180">
                <wp:extent cx="538662" cy="360000"/>
                <wp:effectExtent l="0" t="0" r="0" b="2540"/>
                <wp:docPr id="4" name="Picture 4" descr="Background patter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Background patter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66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  <w:tcBorders>
            <w:top w:val="single" w:sz="4" w:space="0" w:color="auto"/>
          </w:tcBorders>
          <w:vAlign w:val="center"/>
        </w:tcPr>
        <w:p w14:paraId="1C0F7F87" w14:textId="27E4F008" w:rsidR="00653B75" w:rsidRPr="00653B75" w:rsidRDefault="00653B75" w:rsidP="00653B75">
          <w:pPr>
            <w:pStyle w:val="Footer"/>
            <w:rPr>
              <w:sz w:val="20"/>
              <w:szCs w:val="20"/>
            </w:rPr>
          </w:pPr>
          <w:r w:rsidRPr="00653B75">
            <w:rPr>
              <w:rFonts w:asciiTheme="minorHAnsi" w:hAnsiTheme="minorHAnsi"/>
              <w:sz w:val="20"/>
              <w:szCs w:val="20"/>
            </w:rPr>
            <w:t>This project is co-financed by the European Union</w:t>
          </w:r>
        </w:p>
      </w:tc>
    </w:tr>
    <w:tr w:rsidR="00653B75" w:rsidRPr="00653B75" w14:paraId="09E34A05" w14:textId="77777777" w:rsidTr="00653B75">
      <w:tc>
        <w:tcPr>
          <w:tcW w:w="9879" w:type="dxa"/>
          <w:gridSpan w:val="2"/>
          <w:vAlign w:val="center"/>
        </w:tcPr>
        <w:p w14:paraId="5C2EC909" w14:textId="77777777" w:rsidR="00653B75" w:rsidRPr="00653B75" w:rsidRDefault="00653B75" w:rsidP="00653B75">
          <w:pPr>
            <w:pStyle w:val="Footer"/>
            <w:jc w:val="center"/>
            <w:rPr>
              <w:sz w:val="6"/>
              <w:szCs w:val="6"/>
            </w:rPr>
          </w:pPr>
        </w:p>
      </w:tc>
    </w:tr>
    <w:tr w:rsidR="00653B75" w:rsidRPr="00653B75" w14:paraId="364922BA" w14:textId="77777777" w:rsidTr="00FB6078">
      <w:tc>
        <w:tcPr>
          <w:tcW w:w="9879" w:type="dxa"/>
          <w:gridSpan w:val="2"/>
          <w:vAlign w:val="center"/>
        </w:tcPr>
        <w:p w14:paraId="6F9B5CEF" w14:textId="77777777" w:rsidR="00653B75" w:rsidRPr="00653B75" w:rsidRDefault="00653B75" w:rsidP="009E2188">
          <w:pPr>
            <w:pStyle w:val="Footer"/>
            <w:jc w:val="both"/>
            <w:rPr>
              <w:rFonts w:cs="Calibri"/>
              <w:color w:val="000000"/>
              <w:sz w:val="20"/>
              <w:szCs w:val="20"/>
            </w:rPr>
          </w:pPr>
          <w:r w:rsidRPr="00653B75">
            <w:rPr>
              <w:rFonts w:cs="Calibri"/>
              <w:color w:val="000000"/>
              <w:sz w:val="20"/>
              <w:szCs w:val="20"/>
            </w:rPr>
            <w:t xml:space="preserve">This project is implemented by Centre for Knowledge Management Skopje North Macedonia, Centre for development of Skopje planning region North Macedonia, the Centre for the development of </w:t>
          </w:r>
          <w:proofErr w:type="spellStart"/>
          <w:r w:rsidRPr="00653B75">
            <w:rPr>
              <w:rFonts w:cs="Calibri"/>
              <w:color w:val="000000"/>
              <w:sz w:val="20"/>
              <w:szCs w:val="20"/>
            </w:rPr>
            <w:t>Jablanica</w:t>
          </w:r>
          <w:proofErr w:type="spellEnd"/>
          <w:r w:rsidRPr="00653B75">
            <w:rPr>
              <w:rFonts w:cs="Calibri"/>
              <w:color w:val="000000"/>
              <w:sz w:val="20"/>
              <w:szCs w:val="20"/>
            </w:rPr>
            <w:t xml:space="preserve"> and </w:t>
          </w:r>
          <w:proofErr w:type="spellStart"/>
          <w:r w:rsidRPr="00653B75">
            <w:rPr>
              <w:rFonts w:cs="Calibri"/>
              <w:color w:val="000000"/>
              <w:sz w:val="20"/>
              <w:szCs w:val="20"/>
            </w:rPr>
            <w:t>Pcinja</w:t>
          </w:r>
          <w:proofErr w:type="spellEnd"/>
          <w:r w:rsidRPr="00653B75">
            <w:rPr>
              <w:rFonts w:cs="Calibri"/>
              <w:color w:val="000000"/>
              <w:sz w:val="20"/>
              <w:szCs w:val="20"/>
            </w:rPr>
            <w:t xml:space="preserve"> districts Leskovac, Serbia and Municipality of </w:t>
          </w:r>
          <w:proofErr w:type="spellStart"/>
          <w:r w:rsidRPr="00653B75">
            <w:rPr>
              <w:rFonts w:cs="Calibri"/>
              <w:color w:val="000000"/>
              <w:sz w:val="20"/>
              <w:szCs w:val="20"/>
            </w:rPr>
            <w:t>Vlasotince</w:t>
          </w:r>
          <w:proofErr w:type="spellEnd"/>
          <w:r w:rsidRPr="00653B75">
            <w:rPr>
              <w:rFonts w:cs="Calibri"/>
              <w:color w:val="000000"/>
              <w:sz w:val="20"/>
              <w:szCs w:val="20"/>
            </w:rPr>
            <w:t>, Serbia</w:t>
          </w:r>
        </w:p>
      </w:tc>
    </w:tr>
    <w:tr w:rsidR="00653B75" w:rsidRPr="008616EB" w14:paraId="001172C0" w14:textId="77777777" w:rsidTr="00FB6078">
      <w:tc>
        <w:tcPr>
          <w:tcW w:w="9879" w:type="dxa"/>
          <w:gridSpan w:val="2"/>
          <w:tcBorders>
            <w:bottom w:val="single" w:sz="4" w:space="0" w:color="auto"/>
          </w:tcBorders>
          <w:vAlign w:val="center"/>
        </w:tcPr>
        <w:p w14:paraId="2EC6149C" w14:textId="77777777" w:rsidR="00653B75" w:rsidRPr="008616EB" w:rsidRDefault="00653B75" w:rsidP="00653B75">
          <w:pPr>
            <w:pStyle w:val="Footer"/>
            <w:jc w:val="both"/>
            <w:rPr>
              <w:rFonts w:cs="Calibri"/>
              <w:color w:val="000000"/>
              <w:sz w:val="8"/>
              <w:szCs w:val="8"/>
            </w:rPr>
          </w:pPr>
        </w:p>
      </w:tc>
    </w:tr>
  </w:tbl>
  <w:p w14:paraId="281FFC98" w14:textId="77777777" w:rsidR="00653B75" w:rsidRPr="00653B75" w:rsidRDefault="00653B75" w:rsidP="00653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618F" w14:textId="77777777" w:rsidR="000C793A" w:rsidRDefault="000C793A" w:rsidP="001E2800">
      <w:r>
        <w:separator/>
      </w:r>
    </w:p>
  </w:footnote>
  <w:footnote w:type="continuationSeparator" w:id="0">
    <w:p w14:paraId="026D613B" w14:textId="77777777" w:rsidR="000C793A" w:rsidRDefault="000C793A" w:rsidP="001E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9809" w14:textId="77777777" w:rsidR="00695E62" w:rsidRDefault="006851E3" w:rsidP="006851E3">
    <w:pPr>
      <w:pStyle w:val="Header"/>
      <w:jc w:val="center"/>
      <w:rPr>
        <w:rFonts w:asciiTheme="minorHAnsi" w:hAnsiTheme="minorHAnsi"/>
        <w:b/>
        <w:bCs/>
        <w:sz w:val="16"/>
        <w:szCs w:val="16"/>
      </w:rPr>
    </w:pPr>
    <w:r w:rsidRPr="008616EB">
      <w:rPr>
        <w:rFonts w:asciiTheme="minorHAnsi" w:hAnsiTheme="minorHAnsi"/>
        <w:noProof/>
        <w:lang w:val="en-US"/>
      </w:rPr>
      <w:drawing>
        <wp:inline distT="0" distB="0" distL="0" distR="0" wp14:anchorId="2BC09ED0" wp14:editId="17994C16">
          <wp:extent cx="6136005" cy="137033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6005" cy="137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3"/>
    </w:tblGrid>
    <w:tr w:rsidR="00695E62" w14:paraId="47B02DD9" w14:textId="77777777" w:rsidTr="00695E62">
      <w:tc>
        <w:tcPr>
          <w:tcW w:w="9879" w:type="dxa"/>
          <w:tcBorders>
            <w:bottom w:val="single" w:sz="4" w:space="0" w:color="auto"/>
          </w:tcBorders>
        </w:tcPr>
        <w:p w14:paraId="3BE7D3AB" w14:textId="2DA3958B" w:rsidR="00695E62" w:rsidRPr="00783CB2" w:rsidRDefault="00695E62" w:rsidP="00695E62">
          <w:pPr>
            <w:pStyle w:val="Header"/>
            <w:jc w:val="center"/>
            <w:rPr>
              <w:rFonts w:asciiTheme="minorHAnsi" w:hAnsiTheme="minorHAnsi"/>
              <w:b/>
              <w:bCs/>
              <w:sz w:val="28"/>
              <w:szCs w:val="28"/>
              <w:lang w:val="sr-Cyrl-RS"/>
            </w:rPr>
          </w:pPr>
          <w:r w:rsidRPr="00695E62">
            <w:rPr>
              <w:rFonts w:asciiTheme="minorHAnsi" w:hAnsiTheme="minorHAnsi"/>
              <w:b/>
              <w:bCs/>
              <w:sz w:val="28"/>
              <w:szCs w:val="28"/>
            </w:rPr>
            <w:t>OPPORTUNITY4YOU</w:t>
          </w:r>
          <w:r w:rsidR="00783CB2">
            <w:rPr>
              <w:rFonts w:asciiTheme="minorHAnsi" w:hAnsiTheme="minorHAnsi"/>
              <w:b/>
              <w:bCs/>
              <w:sz w:val="28"/>
              <w:szCs w:val="28"/>
              <w:lang w:val="sr-Cyrl-RS"/>
            </w:rPr>
            <w:t xml:space="preserve"> </w:t>
          </w:r>
          <w:r w:rsidR="00783CB2">
            <w:rPr>
              <w:rFonts w:asciiTheme="minorHAnsi" w:hAnsiTheme="minorHAnsi"/>
              <w:b/>
              <w:bCs/>
              <w:sz w:val="28"/>
              <w:szCs w:val="28"/>
            </w:rPr>
            <w:t>|</w:t>
          </w:r>
          <w:r w:rsidR="00783CB2">
            <w:rPr>
              <w:rFonts w:asciiTheme="minorHAnsi" w:hAnsiTheme="minorHAnsi"/>
              <w:b/>
              <w:bCs/>
              <w:sz w:val="28"/>
              <w:szCs w:val="28"/>
              <w:lang w:val="sr-Cyrl-RS"/>
            </w:rPr>
            <w:t xml:space="preserve"> ШАНСА ЗА ТЕБЕ</w:t>
          </w:r>
        </w:p>
      </w:tc>
    </w:tr>
  </w:tbl>
  <w:p w14:paraId="075A8A40" w14:textId="436FDE90" w:rsidR="00695E62" w:rsidRPr="00695E62" w:rsidRDefault="00695E62" w:rsidP="00695E62">
    <w:pPr>
      <w:pStyle w:val="Header"/>
      <w:jc w:val="center"/>
      <w:rPr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45"/>
    <w:multiLevelType w:val="hybridMultilevel"/>
    <w:tmpl w:val="7D28F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31CD"/>
    <w:multiLevelType w:val="hybridMultilevel"/>
    <w:tmpl w:val="AAD0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4663"/>
    <w:multiLevelType w:val="hybridMultilevel"/>
    <w:tmpl w:val="29E6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3956"/>
    <w:multiLevelType w:val="hybridMultilevel"/>
    <w:tmpl w:val="A0DE0738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1658539A"/>
    <w:multiLevelType w:val="hybridMultilevel"/>
    <w:tmpl w:val="1B0CE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161E6"/>
    <w:multiLevelType w:val="hybridMultilevel"/>
    <w:tmpl w:val="0972D22C"/>
    <w:lvl w:ilvl="0" w:tplc="0D107386">
      <w:start w:val="60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6911"/>
    <w:multiLevelType w:val="hybridMultilevel"/>
    <w:tmpl w:val="15582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B005D"/>
    <w:multiLevelType w:val="hybridMultilevel"/>
    <w:tmpl w:val="245E790C"/>
    <w:lvl w:ilvl="0" w:tplc="B300838A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3D6B"/>
    <w:multiLevelType w:val="hybridMultilevel"/>
    <w:tmpl w:val="D16A5A06"/>
    <w:lvl w:ilvl="0" w:tplc="B300838A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2876"/>
    <w:multiLevelType w:val="hybridMultilevel"/>
    <w:tmpl w:val="54026A6E"/>
    <w:lvl w:ilvl="0" w:tplc="0D107386">
      <w:start w:val="60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62BDD"/>
    <w:multiLevelType w:val="hybridMultilevel"/>
    <w:tmpl w:val="D46A8F06"/>
    <w:lvl w:ilvl="0" w:tplc="B300838A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E479E"/>
    <w:multiLevelType w:val="hybridMultilevel"/>
    <w:tmpl w:val="6B1E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02AB"/>
    <w:multiLevelType w:val="hybridMultilevel"/>
    <w:tmpl w:val="38188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E937BA"/>
    <w:multiLevelType w:val="hybridMultilevel"/>
    <w:tmpl w:val="4704D6EA"/>
    <w:lvl w:ilvl="0" w:tplc="0D107386">
      <w:start w:val="60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0779D"/>
    <w:multiLevelType w:val="hybridMultilevel"/>
    <w:tmpl w:val="34A4BF0C"/>
    <w:lvl w:ilvl="0" w:tplc="0D107386">
      <w:start w:val="60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71091"/>
    <w:multiLevelType w:val="hybridMultilevel"/>
    <w:tmpl w:val="30709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D254A"/>
    <w:multiLevelType w:val="hybridMultilevel"/>
    <w:tmpl w:val="8DF8FE4A"/>
    <w:lvl w:ilvl="0" w:tplc="B300838A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706B3"/>
    <w:multiLevelType w:val="hybridMultilevel"/>
    <w:tmpl w:val="7924C462"/>
    <w:lvl w:ilvl="0" w:tplc="0D107386">
      <w:start w:val="60"/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16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37"/>
    <w:rsid w:val="000133A0"/>
    <w:rsid w:val="000A3F7A"/>
    <w:rsid w:val="000B2BA9"/>
    <w:rsid w:val="000C5D68"/>
    <w:rsid w:val="000C793A"/>
    <w:rsid w:val="000D0026"/>
    <w:rsid w:val="000D0ACD"/>
    <w:rsid w:val="000D4CA8"/>
    <w:rsid w:val="000D6856"/>
    <w:rsid w:val="001238EB"/>
    <w:rsid w:val="00140B7F"/>
    <w:rsid w:val="001572AF"/>
    <w:rsid w:val="00157D6B"/>
    <w:rsid w:val="00171782"/>
    <w:rsid w:val="00175B92"/>
    <w:rsid w:val="001D36FC"/>
    <w:rsid w:val="001E2800"/>
    <w:rsid w:val="001F3E52"/>
    <w:rsid w:val="00215A37"/>
    <w:rsid w:val="00236809"/>
    <w:rsid w:val="002403AB"/>
    <w:rsid w:val="002509E2"/>
    <w:rsid w:val="00252976"/>
    <w:rsid w:val="00280BC3"/>
    <w:rsid w:val="002A00ED"/>
    <w:rsid w:val="002B6F26"/>
    <w:rsid w:val="002D038A"/>
    <w:rsid w:val="00330D4A"/>
    <w:rsid w:val="003439B3"/>
    <w:rsid w:val="00375CE3"/>
    <w:rsid w:val="00380171"/>
    <w:rsid w:val="00395ACC"/>
    <w:rsid w:val="003B7F7A"/>
    <w:rsid w:val="003C5390"/>
    <w:rsid w:val="003D5937"/>
    <w:rsid w:val="003F1700"/>
    <w:rsid w:val="00482845"/>
    <w:rsid w:val="004B3E48"/>
    <w:rsid w:val="00561B16"/>
    <w:rsid w:val="0058404F"/>
    <w:rsid w:val="005B56F6"/>
    <w:rsid w:val="005D4E7C"/>
    <w:rsid w:val="006079B3"/>
    <w:rsid w:val="00617798"/>
    <w:rsid w:val="00635FFC"/>
    <w:rsid w:val="00653B75"/>
    <w:rsid w:val="006851E3"/>
    <w:rsid w:val="006907A2"/>
    <w:rsid w:val="00695E62"/>
    <w:rsid w:val="006A4E18"/>
    <w:rsid w:val="006F1220"/>
    <w:rsid w:val="007012A0"/>
    <w:rsid w:val="007056BC"/>
    <w:rsid w:val="00731CB7"/>
    <w:rsid w:val="00783CB2"/>
    <w:rsid w:val="00786A57"/>
    <w:rsid w:val="007B63E8"/>
    <w:rsid w:val="007E7B0D"/>
    <w:rsid w:val="008437DB"/>
    <w:rsid w:val="008A39B5"/>
    <w:rsid w:val="008E4F19"/>
    <w:rsid w:val="008F25F8"/>
    <w:rsid w:val="00900EEB"/>
    <w:rsid w:val="00906819"/>
    <w:rsid w:val="009523A0"/>
    <w:rsid w:val="009578C4"/>
    <w:rsid w:val="0096024B"/>
    <w:rsid w:val="0099012F"/>
    <w:rsid w:val="009A7379"/>
    <w:rsid w:val="009B1656"/>
    <w:rsid w:val="009D2B5B"/>
    <w:rsid w:val="009E2188"/>
    <w:rsid w:val="009E5F89"/>
    <w:rsid w:val="009F0A28"/>
    <w:rsid w:val="009F2A23"/>
    <w:rsid w:val="00A17080"/>
    <w:rsid w:val="00A77FF6"/>
    <w:rsid w:val="00A852F1"/>
    <w:rsid w:val="00AA559C"/>
    <w:rsid w:val="00B11BC7"/>
    <w:rsid w:val="00B41C11"/>
    <w:rsid w:val="00B800D6"/>
    <w:rsid w:val="00B8734E"/>
    <w:rsid w:val="00B93352"/>
    <w:rsid w:val="00BA6900"/>
    <w:rsid w:val="00BB640D"/>
    <w:rsid w:val="00BC1FB1"/>
    <w:rsid w:val="00BF6423"/>
    <w:rsid w:val="00C07AAB"/>
    <w:rsid w:val="00C56267"/>
    <w:rsid w:val="00C74732"/>
    <w:rsid w:val="00C762BF"/>
    <w:rsid w:val="00CA115A"/>
    <w:rsid w:val="00CA5749"/>
    <w:rsid w:val="00CB7866"/>
    <w:rsid w:val="00CD7C9F"/>
    <w:rsid w:val="00CE4E68"/>
    <w:rsid w:val="00CE5DA7"/>
    <w:rsid w:val="00CF1B77"/>
    <w:rsid w:val="00CF58DA"/>
    <w:rsid w:val="00D01A9A"/>
    <w:rsid w:val="00D0516E"/>
    <w:rsid w:val="00D16F49"/>
    <w:rsid w:val="00D22B30"/>
    <w:rsid w:val="00D74022"/>
    <w:rsid w:val="00D80DF7"/>
    <w:rsid w:val="00DA67A9"/>
    <w:rsid w:val="00E377B9"/>
    <w:rsid w:val="00E65B7D"/>
    <w:rsid w:val="00E6745B"/>
    <w:rsid w:val="00E92400"/>
    <w:rsid w:val="00EC618F"/>
    <w:rsid w:val="00ED10FF"/>
    <w:rsid w:val="00EE6E26"/>
    <w:rsid w:val="00EF3807"/>
    <w:rsid w:val="00EF6FCA"/>
    <w:rsid w:val="00F107D4"/>
    <w:rsid w:val="00F35CF0"/>
    <w:rsid w:val="00F734D4"/>
    <w:rsid w:val="00F812AD"/>
    <w:rsid w:val="00F84323"/>
    <w:rsid w:val="00F95C0E"/>
    <w:rsid w:val="00FA28F7"/>
    <w:rsid w:val="00FB6078"/>
    <w:rsid w:val="00FC76EE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0F477"/>
  <w15:chartTrackingRefBased/>
  <w15:docId w15:val="{2DA5CA84-540C-4642-BD4B-7241FEE6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80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E28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800"/>
    <w:rPr>
      <w:lang w:val="sr-Latn-RS"/>
    </w:rPr>
  </w:style>
  <w:style w:type="table" w:styleId="TableGrid">
    <w:name w:val="Table Grid"/>
    <w:basedOn w:val="TableNormal"/>
    <w:rsid w:val="0065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9E2"/>
    <w:pPr>
      <w:ind w:left="720"/>
      <w:contextualSpacing/>
    </w:pPr>
    <w:rPr>
      <w:lang w:val="sr-Cyrl-RS"/>
    </w:rPr>
  </w:style>
  <w:style w:type="paragraph" w:styleId="NormalWeb">
    <w:name w:val="Normal (Web)"/>
    <w:basedOn w:val="Normal"/>
    <w:uiPriority w:val="99"/>
    <w:unhideWhenUsed/>
    <w:rsid w:val="002529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Milenkovic</dc:creator>
  <cp:keywords/>
  <dc:description/>
  <cp:lastModifiedBy>Regina Ikonomova</cp:lastModifiedBy>
  <cp:revision>2</cp:revision>
  <dcterms:created xsi:type="dcterms:W3CDTF">2024-05-13T14:02:00Z</dcterms:created>
  <dcterms:modified xsi:type="dcterms:W3CDTF">2024-05-13T14:02:00Z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1a90de8bc0b0266ef67fcfbcb7dafb4773c9a3371dbb67c51e3c878b127bf78b</vt:lpwstr>
  </property>
</Properties>
</file>